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274D" w14:textId="25C356F0" w:rsidR="008D3935" w:rsidRDefault="00655752">
      <w:r>
        <w:rPr>
          <w:rFonts w:ascii="Times New Roman"/>
          <w:noProof/>
          <w:color w:val="2B579A"/>
          <w:sz w:val="20"/>
          <w:shd w:val="clear" w:color="auto" w:fill="E6E6E6"/>
        </w:rPr>
        <w:drawing>
          <wp:anchor distT="0" distB="0" distL="114300" distR="114300" simplePos="0" relativeHeight="251659264" behindDoc="1" locked="0" layoutInCell="1" allowOverlap="1" wp14:anchorId="481CA0BC" wp14:editId="0D4F22FE">
            <wp:simplePos x="0" y="0"/>
            <wp:positionH relativeFrom="margin">
              <wp:posOffset>0</wp:posOffset>
            </wp:positionH>
            <wp:positionV relativeFrom="page">
              <wp:posOffset>457200</wp:posOffset>
            </wp:positionV>
            <wp:extent cx="556260" cy="558800"/>
            <wp:effectExtent l="0" t="0" r="0" b="0"/>
            <wp:wrapNone/>
            <wp:docPr id="986266983" name="Image 4" descr="A logo of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of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6260" cy="558800"/>
                    </a:xfrm>
                    <a:prstGeom prst="rect">
                      <a:avLst/>
                    </a:prstGeom>
                  </pic:spPr>
                </pic:pic>
              </a:graphicData>
            </a:graphic>
            <wp14:sizeRelH relativeFrom="page">
              <wp14:pctWidth>0</wp14:pctWidth>
            </wp14:sizeRelH>
            <wp14:sizeRelV relativeFrom="page">
              <wp14:pctHeight>0</wp14:pctHeight>
            </wp14:sizeRelV>
          </wp:anchor>
        </w:drawing>
      </w:r>
      <w:r>
        <w:tab/>
      </w:r>
    </w:p>
    <w:p w14:paraId="3F39AD69" w14:textId="431B772A" w:rsidR="00655752" w:rsidRDefault="00655752" w:rsidP="00655752">
      <w:pPr>
        <w:jc w:val="center"/>
        <w:rPr>
          <w:b/>
          <w:bCs/>
          <w:color w:val="1875D2"/>
          <w:sz w:val="28"/>
          <w:szCs w:val="28"/>
        </w:rPr>
      </w:pPr>
      <w:r w:rsidRPr="00655752">
        <w:rPr>
          <w:b/>
          <w:bCs/>
          <w:color w:val="1875D2"/>
          <w:sz w:val="28"/>
          <w:szCs w:val="28"/>
        </w:rPr>
        <w:t>Summary of the key changes to Charity Statement of Recommended Practice (SORP) 2026</w:t>
      </w:r>
    </w:p>
    <w:p w14:paraId="08DC2B14" w14:textId="7FDFAD6F" w:rsidR="00655752" w:rsidRPr="00655752" w:rsidRDefault="00E15158" w:rsidP="00427769">
      <w:pPr>
        <w:spacing w:line="240" w:lineRule="auto"/>
      </w:pPr>
      <w:r w:rsidRPr="00E15158">
        <w:t>This table highlights the key changes most likely to affect PCC annual reports and accounts. Major SORP updates – such as the 5-step income recognition model and lease accounting – are unlikely to impact how most PCC accounts are presented.</w:t>
      </w:r>
      <w:r w:rsidR="00427769">
        <w:t xml:space="preserve"> </w:t>
      </w:r>
      <w:r w:rsidR="00655752">
        <w:t>For more information see the</w:t>
      </w:r>
      <w:r w:rsidR="00135062">
        <w:t xml:space="preserve"> Charity Commission</w:t>
      </w:r>
      <w:r w:rsidR="00655752">
        <w:t xml:space="preserve"> </w:t>
      </w:r>
      <w:hyperlink r:id="rId6" w:history="1">
        <w:r w:rsidR="00655752" w:rsidRPr="00655752">
          <w:rPr>
            <w:rStyle w:val="Hyperlink"/>
          </w:rPr>
          <w:t xml:space="preserve">Summary of </w:t>
        </w:r>
        <w:r w:rsidR="00655752" w:rsidRPr="00655752">
          <w:rPr>
            <w:rStyle w:val="Hyperlink"/>
          </w:rPr>
          <w:t>C</w:t>
        </w:r>
        <w:r w:rsidR="00655752" w:rsidRPr="00655752">
          <w:rPr>
            <w:rStyle w:val="Hyperlink"/>
          </w:rPr>
          <w:t>hanges</w:t>
        </w:r>
      </w:hyperlink>
      <w:r w:rsidR="00135062">
        <w:t xml:space="preserve"> and access the full </w:t>
      </w:r>
      <w:hyperlink r:id="rId7" w:history="1">
        <w:r w:rsidR="00135062" w:rsidRPr="00135062">
          <w:rPr>
            <w:rStyle w:val="Hyperlink"/>
          </w:rPr>
          <w:t>Charities SORP 2026</w:t>
        </w:r>
      </w:hyperlink>
      <w:r w:rsidR="00135062">
        <w:t>.</w:t>
      </w:r>
    </w:p>
    <w:tbl>
      <w:tblPr>
        <w:tblStyle w:val="TableGrid"/>
        <w:tblW w:w="15446" w:type="dxa"/>
        <w:tblLook w:val="04A0" w:firstRow="1" w:lastRow="0" w:firstColumn="1" w:lastColumn="0" w:noHBand="0" w:noVBand="1"/>
      </w:tblPr>
      <w:tblGrid>
        <w:gridCol w:w="2263"/>
        <w:gridCol w:w="5103"/>
        <w:gridCol w:w="8080"/>
      </w:tblGrid>
      <w:tr w:rsidR="00F17F31" w:rsidRPr="00126857" w14:paraId="2ABE1C86" w14:textId="77777777" w:rsidTr="00427769">
        <w:tc>
          <w:tcPr>
            <w:tcW w:w="2263" w:type="dxa"/>
            <w:shd w:val="clear" w:color="auto" w:fill="1875D2"/>
            <w:vAlign w:val="center"/>
          </w:tcPr>
          <w:p w14:paraId="7FE9DD39" w14:textId="3074E951" w:rsidR="00F17F31" w:rsidRPr="00427769" w:rsidRDefault="00F17F31" w:rsidP="001750A7">
            <w:pPr>
              <w:rPr>
                <w:b/>
                <w:bCs/>
                <w:color w:val="FFFFFF" w:themeColor="background1"/>
                <w:szCs w:val="22"/>
              </w:rPr>
            </w:pPr>
            <w:r w:rsidRPr="00427769">
              <w:rPr>
                <w:b/>
                <w:bCs/>
                <w:color w:val="FFFFFF" w:themeColor="background1"/>
                <w:szCs w:val="22"/>
              </w:rPr>
              <w:t>Feature</w:t>
            </w:r>
          </w:p>
        </w:tc>
        <w:tc>
          <w:tcPr>
            <w:tcW w:w="5103" w:type="dxa"/>
            <w:shd w:val="clear" w:color="auto" w:fill="1875D2"/>
            <w:vAlign w:val="center"/>
          </w:tcPr>
          <w:p w14:paraId="49D8DA47" w14:textId="55684A82" w:rsidR="00F17F31" w:rsidRPr="00427769" w:rsidRDefault="00F17F31" w:rsidP="001750A7">
            <w:pPr>
              <w:rPr>
                <w:b/>
                <w:bCs/>
                <w:color w:val="FFFFFF" w:themeColor="background1"/>
                <w:szCs w:val="22"/>
              </w:rPr>
            </w:pPr>
            <w:r w:rsidRPr="00427769">
              <w:rPr>
                <w:b/>
                <w:bCs/>
                <w:color w:val="FFFFFF" w:themeColor="background1"/>
                <w:szCs w:val="22"/>
              </w:rPr>
              <w:t xml:space="preserve">Pre-2026 SORP </w:t>
            </w:r>
          </w:p>
        </w:tc>
        <w:tc>
          <w:tcPr>
            <w:tcW w:w="8080" w:type="dxa"/>
            <w:shd w:val="clear" w:color="auto" w:fill="1875D2"/>
            <w:vAlign w:val="center"/>
          </w:tcPr>
          <w:p w14:paraId="1F3AB853" w14:textId="18C2493E" w:rsidR="00F17F31" w:rsidRPr="00427769" w:rsidRDefault="00F17F31" w:rsidP="001750A7">
            <w:pPr>
              <w:rPr>
                <w:b/>
                <w:bCs/>
                <w:color w:val="FFFFFF" w:themeColor="background1"/>
                <w:szCs w:val="22"/>
              </w:rPr>
            </w:pPr>
            <w:r w:rsidRPr="00427769">
              <w:rPr>
                <w:b/>
                <w:bCs/>
                <w:color w:val="FFFFFF" w:themeColor="background1"/>
                <w:szCs w:val="22"/>
              </w:rPr>
              <w:t>2026 SORP</w:t>
            </w:r>
          </w:p>
        </w:tc>
      </w:tr>
      <w:tr w:rsidR="00F17F31" w:rsidRPr="00427769" w14:paraId="3024AA25" w14:textId="77777777" w:rsidTr="00427769">
        <w:tc>
          <w:tcPr>
            <w:tcW w:w="2263" w:type="dxa"/>
            <w:shd w:val="clear" w:color="auto" w:fill="E2F0FD"/>
            <w:vAlign w:val="center"/>
          </w:tcPr>
          <w:p w14:paraId="418EFF10" w14:textId="1F0F8FDF" w:rsidR="00F17F31" w:rsidRPr="00427769" w:rsidRDefault="00F17F31" w:rsidP="001750A7">
            <w:pPr>
              <w:rPr>
                <w:sz w:val="20"/>
                <w:szCs w:val="20"/>
              </w:rPr>
            </w:pPr>
            <w:r w:rsidRPr="00427769">
              <w:rPr>
                <w:sz w:val="20"/>
                <w:szCs w:val="20"/>
              </w:rPr>
              <w:t>Effective date</w:t>
            </w:r>
          </w:p>
        </w:tc>
        <w:tc>
          <w:tcPr>
            <w:tcW w:w="5103" w:type="dxa"/>
            <w:vAlign w:val="center"/>
          </w:tcPr>
          <w:p w14:paraId="25DBD16C" w14:textId="4F13EDBA" w:rsidR="00F17F31" w:rsidRPr="00427769" w:rsidRDefault="00F17F31" w:rsidP="001750A7">
            <w:pPr>
              <w:rPr>
                <w:sz w:val="20"/>
                <w:szCs w:val="20"/>
              </w:rPr>
            </w:pPr>
            <w:r w:rsidRPr="00427769">
              <w:rPr>
                <w:sz w:val="20"/>
                <w:szCs w:val="20"/>
              </w:rPr>
              <w:t xml:space="preserve">Up to </w:t>
            </w:r>
            <w:r w:rsidR="00135062" w:rsidRPr="00427769">
              <w:rPr>
                <w:sz w:val="20"/>
                <w:szCs w:val="20"/>
              </w:rPr>
              <w:t xml:space="preserve">financial yearend </w:t>
            </w:r>
            <w:r w:rsidRPr="00427769">
              <w:rPr>
                <w:sz w:val="20"/>
                <w:szCs w:val="20"/>
              </w:rPr>
              <w:t>31 December 2025</w:t>
            </w:r>
          </w:p>
        </w:tc>
        <w:tc>
          <w:tcPr>
            <w:tcW w:w="8080" w:type="dxa"/>
            <w:vAlign w:val="center"/>
          </w:tcPr>
          <w:p w14:paraId="7CFDD015" w14:textId="3156A714" w:rsidR="00F17F31" w:rsidRPr="00427769" w:rsidRDefault="00135062" w:rsidP="001750A7">
            <w:pPr>
              <w:rPr>
                <w:sz w:val="20"/>
                <w:szCs w:val="20"/>
              </w:rPr>
            </w:pPr>
            <w:r w:rsidRPr="00427769">
              <w:rPr>
                <w:sz w:val="20"/>
                <w:szCs w:val="20"/>
              </w:rPr>
              <w:t xml:space="preserve">From financial year starting </w:t>
            </w:r>
            <w:r w:rsidR="00F17F31" w:rsidRPr="00427769">
              <w:rPr>
                <w:sz w:val="20"/>
                <w:szCs w:val="20"/>
              </w:rPr>
              <w:t>1 January 2026</w:t>
            </w:r>
          </w:p>
        </w:tc>
      </w:tr>
      <w:tr w:rsidR="00F17F31" w:rsidRPr="00427769" w14:paraId="301DD721" w14:textId="77777777" w:rsidTr="00427769">
        <w:trPr>
          <w:trHeight w:val="729"/>
        </w:trPr>
        <w:tc>
          <w:tcPr>
            <w:tcW w:w="2263" w:type="dxa"/>
            <w:shd w:val="clear" w:color="auto" w:fill="E2F0FD"/>
            <w:vAlign w:val="center"/>
          </w:tcPr>
          <w:p w14:paraId="5A590863" w14:textId="75C0C0AC" w:rsidR="001750A7" w:rsidRPr="00427769" w:rsidRDefault="00F17F31" w:rsidP="001750A7">
            <w:pPr>
              <w:rPr>
                <w:sz w:val="20"/>
                <w:szCs w:val="20"/>
              </w:rPr>
            </w:pPr>
            <w:r w:rsidRPr="00427769">
              <w:rPr>
                <w:sz w:val="20"/>
                <w:szCs w:val="20"/>
              </w:rPr>
              <w:t xml:space="preserve">Reporting </w:t>
            </w:r>
            <w:r w:rsidR="00427769">
              <w:rPr>
                <w:sz w:val="20"/>
                <w:szCs w:val="20"/>
              </w:rPr>
              <w:t xml:space="preserve">  </w:t>
            </w:r>
            <w:r w:rsidRPr="00427769">
              <w:rPr>
                <w:sz w:val="20"/>
                <w:szCs w:val="20"/>
              </w:rPr>
              <w:t>Framework</w:t>
            </w:r>
            <w:r w:rsidR="00135062" w:rsidRPr="00427769">
              <w:rPr>
                <w:sz w:val="20"/>
                <w:szCs w:val="20"/>
              </w:rPr>
              <w:t xml:space="preserve"> (1)</w:t>
            </w:r>
          </w:p>
        </w:tc>
        <w:tc>
          <w:tcPr>
            <w:tcW w:w="5103" w:type="dxa"/>
            <w:vAlign w:val="center"/>
          </w:tcPr>
          <w:p w14:paraId="2C7F1E56" w14:textId="164E5566" w:rsidR="00F17F31" w:rsidRPr="00427769" w:rsidRDefault="00F17F31" w:rsidP="001750A7">
            <w:pPr>
              <w:pStyle w:val="ListParagraph"/>
              <w:numPr>
                <w:ilvl w:val="0"/>
                <w:numId w:val="6"/>
              </w:numPr>
              <w:rPr>
                <w:sz w:val="20"/>
                <w:szCs w:val="20"/>
              </w:rPr>
            </w:pPr>
            <w:r w:rsidRPr="00427769">
              <w:rPr>
                <w:sz w:val="20"/>
                <w:szCs w:val="20"/>
              </w:rPr>
              <w:t>Up to £250k</w:t>
            </w:r>
            <w:r w:rsidR="00126857" w:rsidRPr="00427769">
              <w:rPr>
                <w:sz w:val="20"/>
                <w:szCs w:val="20"/>
              </w:rPr>
              <w:t xml:space="preserve">: </w:t>
            </w:r>
            <w:r w:rsidR="003C7A73" w:rsidRPr="00427769">
              <w:rPr>
                <w:sz w:val="20"/>
                <w:szCs w:val="20"/>
              </w:rPr>
              <w:t>A</w:t>
            </w:r>
            <w:r w:rsidRPr="00427769">
              <w:rPr>
                <w:sz w:val="20"/>
                <w:szCs w:val="20"/>
              </w:rPr>
              <w:t>ccrual</w:t>
            </w:r>
            <w:r w:rsidR="001750A7" w:rsidRPr="00427769">
              <w:rPr>
                <w:sz w:val="20"/>
                <w:szCs w:val="20"/>
              </w:rPr>
              <w:t>s accounting</w:t>
            </w:r>
            <w:r w:rsidR="003C7A73" w:rsidRPr="00427769">
              <w:rPr>
                <w:sz w:val="20"/>
                <w:szCs w:val="20"/>
              </w:rPr>
              <w:t xml:space="preserve"> is a choice (2)</w:t>
            </w:r>
          </w:p>
          <w:p w14:paraId="24A39149" w14:textId="69D92DB8" w:rsidR="00F17F31" w:rsidRPr="00427769" w:rsidRDefault="00F17F31" w:rsidP="001750A7">
            <w:pPr>
              <w:pStyle w:val="ListParagraph"/>
              <w:numPr>
                <w:ilvl w:val="0"/>
                <w:numId w:val="6"/>
              </w:numPr>
              <w:rPr>
                <w:sz w:val="20"/>
                <w:szCs w:val="20"/>
              </w:rPr>
            </w:pPr>
            <w:r w:rsidRPr="00427769">
              <w:rPr>
                <w:sz w:val="20"/>
                <w:szCs w:val="20"/>
              </w:rPr>
              <w:t>Over £250k</w:t>
            </w:r>
            <w:r w:rsidR="00126857" w:rsidRPr="00427769">
              <w:rPr>
                <w:sz w:val="20"/>
                <w:szCs w:val="20"/>
              </w:rPr>
              <w:t xml:space="preserve">: </w:t>
            </w:r>
            <w:r w:rsidRPr="00427769">
              <w:rPr>
                <w:sz w:val="20"/>
                <w:szCs w:val="20"/>
              </w:rPr>
              <w:t>Accruals accounting</w:t>
            </w:r>
          </w:p>
        </w:tc>
        <w:tc>
          <w:tcPr>
            <w:tcW w:w="8080" w:type="dxa"/>
            <w:vAlign w:val="center"/>
          </w:tcPr>
          <w:p w14:paraId="6E404DEA" w14:textId="3D4C2472" w:rsidR="00126857" w:rsidRPr="00427769" w:rsidRDefault="00126857" w:rsidP="001750A7">
            <w:pPr>
              <w:pStyle w:val="ListParagraph"/>
              <w:numPr>
                <w:ilvl w:val="0"/>
                <w:numId w:val="2"/>
              </w:numPr>
              <w:rPr>
                <w:sz w:val="20"/>
                <w:szCs w:val="20"/>
              </w:rPr>
            </w:pPr>
            <w:r w:rsidRPr="00427769">
              <w:rPr>
                <w:sz w:val="20"/>
                <w:szCs w:val="20"/>
              </w:rPr>
              <w:t>Tier 1</w:t>
            </w:r>
            <w:r w:rsidR="001750A7" w:rsidRPr="00427769">
              <w:rPr>
                <w:sz w:val="20"/>
                <w:szCs w:val="20"/>
              </w:rPr>
              <w:t xml:space="preserve"> – </w:t>
            </w:r>
            <w:r w:rsidRPr="00427769">
              <w:rPr>
                <w:sz w:val="20"/>
                <w:szCs w:val="20"/>
              </w:rPr>
              <w:t>Up to £500k</w:t>
            </w:r>
            <w:r w:rsidR="001750A7" w:rsidRPr="00427769">
              <w:rPr>
                <w:sz w:val="20"/>
                <w:szCs w:val="20"/>
              </w:rPr>
              <w:t xml:space="preserve">: </w:t>
            </w:r>
            <w:r w:rsidR="00FA6C9B" w:rsidRPr="00427769">
              <w:rPr>
                <w:sz w:val="20"/>
                <w:szCs w:val="20"/>
              </w:rPr>
              <w:t>A</w:t>
            </w:r>
            <w:r w:rsidR="001750A7" w:rsidRPr="00427769">
              <w:rPr>
                <w:sz w:val="20"/>
                <w:szCs w:val="20"/>
              </w:rPr>
              <w:t>ccruals accounting</w:t>
            </w:r>
            <w:r w:rsidR="003C7A73" w:rsidRPr="00427769">
              <w:rPr>
                <w:sz w:val="20"/>
                <w:szCs w:val="20"/>
              </w:rPr>
              <w:t xml:space="preserve"> is a choice</w:t>
            </w:r>
            <w:r w:rsidR="00427769">
              <w:rPr>
                <w:sz w:val="20"/>
                <w:szCs w:val="20"/>
              </w:rPr>
              <w:t xml:space="preserve"> </w:t>
            </w:r>
            <w:r w:rsidR="003C7A73" w:rsidRPr="00427769">
              <w:rPr>
                <w:sz w:val="20"/>
                <w:szCs w:val="20"/>
              </w:rPr>
              <w:t>(2)</w:t>
            </w:r>
          </w:p>
          <w:p w14:paraId="33FA005C" w14:textId="4BCB7450" w:rsidR="00126857" w:rsidRPr="00427769" w:rsidRDefault="00126857" w:rsidP="001750A7">
            <w:pPr>
              <w:pStyle w:val="ListParagraph"/>
              <w:numPr>
                <w:ilvl w:val="0"/>
                <w:numId w:val="2"/>
              </w:numPr>
              <w:rPr>
                <w:sz w:val="20"/>
                <w:szCs w:val="20"/>
              </w:rPr>
            </w:pPr>
            <w:r w:rsidRPr="00427769">
              <w:rPr>
                <w:sz w:val="20"/>
                <w:szCs w:val="20"/>
              </w:rPr>
              <w:t>Tier 2</w:t>
            </w:r>
            <w:r w:rsidR="001750A7" w:rsidRPr="00427769">
              <w:rPr>
                <w:sz w:val="20"/>
                <w:szCs w:val="20"/>
              </w:rPr>
              <w:t xml:space="preserve"> – </w:t>
            </w:r>
            <w:r w:rsidRPr="00427769">
              <w:rPr>
                <w:sz w:val="20"/>
                <w:szCs w:val="20"/>
              </w:rPr>
              <w:t>Between £500k and £15m</w:t>
            </w:r>
            <w:r w:rsidR="001750A7" w:rsidRPr="00427769">
              <w:rPr>
                <w:sz w:val="20"/>
                <w:szCs w:val="20"/>
              </w:rPr>
              <w:t>: Accruals accounting</w:t>
            </w:r>
          </w:p>
          <w:p w14:paraId="320976C3" w14:textId="573A1068" w:rsidR="00F17F31" w:rsidRPr="00427769" w:rsidRDefault="00126857" w:rsidP="001750A7">
            <w:pPr>
              <w:pStyle w:val="ListParagraph"/>
              <w:numPr>
                <w:ilvl w:val="0"/>
                <w:numId w:val="2"/>
              </w:numPr>
              <w:rPr>
                <w:sz w:val="20"/>
                <w:szCs w:val="20"/>
              </w:rPr>
            </w:pPr>
            <w:r w:rsidRPr="00427769">
              <w:rPr>
                <w:sz w:val="20"/>
                <w:szCs w:val="20"/>
              </w:rPr>
              <w:t>Tier 3</w:t>
            </w:r>
            <w:r w:rsidR="001750A7" w:rsidRPr="00427769">
              <w:rPr>
                <w:sz w:val="20"/>
                <w:szCs w:val="20"/>
              </w:rPr>
              <w:t xml:space="preserve"> – </w:t>
            </w:r>
            <w:r w:rsidRPr="00427769">
              <w:rPr>
                <w:sz w:val="20"/>
                <w:szCs w:val="20"/>
              </w:rPr>
              <w:t>Over £15m</w:t>
            </w:r>
            <w:r w:rsidR="001750A7" w:rsidRPr="00427769">
              <w:rPr>
                <w:sz w:val="20"/>
                <w:szCs w:val="20"/>
              </w:rPr>
              <w:t>: Accruals accounting</w:t>
            </w:r>
          </w:p>
        </w:tc>
      </w:tr>
      <w:tr w:rsidR="00F17F31" w:rsidRPr="00427769" w14:paraId="3EB1D8DF" w14:textId="77777777" w:rsidTr="00427769">
        <w:trPr>
          <w:trHeight w:val="274"/>
        </w:trPr>
        <w:tc>
          <w:tcPr>
            <w:tcW w:w="2263" w:type="dxa"/>
            <w:shd w:val="clear" w:color="auto" w:fill="E2F0FD"/>
            <w:vAlign w:val="center"/>
          </w:tcPr>
          <w:p w14:paraId="39E06EFF" w14:textId="733EEE91" w:rsidR="00F17F31" w:rsidRPr="00427769" w:rsidRDefault="00F17F31" w:rsidP="001750A7">
            <w:pPr>
              <w:rPr>
                <w:sz w:val="20"/>
                <w:szCs w:val="20"/>
              </w:rPr>
            </w:pPr>
            <w:r w:rsidRPr="00427769">
              <w:rPr>
                <w:sz w:val="20"/>
                <w:szCs w:val="20"/>
              </w:rPr>
              <w:t>Cash Flow statement</w:t>
            </w:r>
          </w:p>
        </w:tc>
        <w:tc>
          <w:tcPr>
            <w:tcW w:w="5103" w:type="dxa"/>
            <w:vAlign w:val="center"/>
          </w:tcPr>
          <w:p w14:paraId="720EF491" w14:textId="2FCF2C1B" w:rsidR="00F17F31" w:rsidRPr="00427769" w:rsidRDefault="00126857" w:rsidP="001750A7">
            <w:pPr>
              <w:rPr>
                <w:sz w:val="20"/>
                <w:szCs w:val="20"/>
              </w:rPr>
            </w:pPr>
            <w:r w:rsidRPr="00427769">
              <w:rPr>
                <w:sz w:val="20"/>
                <w:szCs w:val="20"/>
              </w:rPr>
              <w:t>Required for all charities with income over £500k</w:t>
            </w:r>
          </w:p>
        </w:tc>
        <w:tc>
          <w:tcPr>
            <w:tcW w:w="8080" w:type="dxa"/>
            <w:vAlign w:val="center"/>
          </w:tcPr>
          <w:p w14:paraId="42C946E7" w14:textId="031D757E" w:rsidR="00F17F31" w:rsidRPr="00427769" w:rsidRDefault="00126857" w:rsidP="001750A7">
            <w:pPr>
              <w:rPr>
                <w:sz w:val="20"/>
                <w:szCs w:val="20"/>
              </w:rPr>
            </w:pPr>
            <w:r w:rsidRPr="00427769">
              <w:rPr>
                <w:sz w:val="20"/>
                <w:szCs w:val="20"/>
              </w:rPr>
              <w:t>Tier 3 charities</w:t>
            </w:r>
            <w:r w:rsidR="00655752" w:rsidRPr="00427769">
              <w:rPr>
                <w:sz w:val="20"/>
                <w:szCs w:val="20"/>
              </w:rPr>
              <w:t xml:space="preserve"> only</w:t>
            </w:r>
          </w:p>
        </w:tc>
      </w:tr>
      <w:tr w:rsidR="00F17F31" w:rsidRPr="00427769" w14:paraId="38313C9D" w14:textId="77777777" w:rsidTr="00E15158">
        <w:trPr>
          <w:trHeight w:val="1921"/>
        </w:trPr>
        <w:tc>
          <w:tcPr>
            <w:tcW w:w="2263" w:type="dxa"/>
            <w:shd w:val="clear" w:color="auto" w:fill="E2F0FD"/>
            <w:vAlign w:val="center"/>
          </w:tcPr>
          <w:p w14:paraId="47D9AB64" w14:textId="7C505AED" w:rsidR="00F17F31" w:rsidRPr="00427769" w:rsidRDefault="00F17F31" w:rsidP="001750A7">
            <w:pPr>
              <w:rPr>
                <w:sz w:val="20"/>
                <w:szCs w:val="20"/>
              </w:rPr>
            </w:pPr>
            <w:r w:rsidRPr="00427769">
              <w:rPr>
                <w:sz w:val="20"/>
                <w:szCs w:val="20"/>
              </w:rPr>
              <w:t>Trustee’s Annual Report</w:t>
            </w:r>
          </w:p>
        </w:tc>
        <w:tc>
          <w:tcPr>
            <w:tcW w:w="5103" w:type="dxa"/>
            <w:vAlign w:val="center"/>
          </w:tcPr>
          <w:p w14:paraId="04910701" w14:textId="3E0E02DE" w:rsidR="00F17F31" w:rsidRPr="00427769" w:rsidRDefault="00126857" w:rsidP="001750A7">
            <w:pPr>
              <w:rPr>
                <w:sz w:val="20"/>
                <w:szCs w:val="20"/>
              </w:rPr>
            </w:pPr>
            <w:r w:rsidRPr="00427769">
              <w:rPr>
                <w:sz w:val="20"/>
                <w:szCs w:val="20"/>
              </w:rPr>
              <w:t>General requirements for the report's content.</w:t>
            </w:r>
          </w:p>
        </w:tc>
        <w:tc>
          <w:tcPr>
            <w:tcW w:w="8080" w:type="dxa"/>
            <w:vAlign w:val="center"/>
          </w:tcPr>
          <w:p w14:paraId="4D90CEB9" w14:textId="77777777" w:rsidR="00135062" w:rsidRPr="00427769" w:rsidRDefault="00135062" w:rsidP="00135062">
            <w:pPr>
              <w:rPr>
                <w:sz w:val="20"/>
                <w:szCs w:val="20"/>
              </w:rPr>
            </w:pPr>
            <w:r w:rsidRPr="00427769">
              <w:rPr>
                <w:sz w:val="20"/>
                <w:szCs w:val="20"/>
              </w:rPr>
              <w:t xml:space="preserve">Greater emphasis on the Trustees’ Annual Report, with clearer reporting on activities, achievements, challenges, reserves and </w:t>
            </w:r>
            <w:proofErr w:type="gramStart"/>
            <w:r w:rsidRPr="00427769">
              <w:rPr>
                <w:sz w:val="20"/>
                <w:szCs w:val="20"/>
              </w:rPr>
              <w:t>future plans</w:t>
            </w:r>
            <w:proofErr w:type="gramEnd"/>
            <w:r w:rsidRPr="00427769">
              <w:rPr>
                <w:sz w:val="20"/>
                <w:szCs w:val="20"/>
              </w:rPr>
              <w:t>.</w:t>
            </w:r>
          </w:p>
          <w:p w14:paraId="021E341F" w14:textId="7A19DF1A" w:rsidR="001750A7" w:rsidRPr="00427769" w:rsidRDefault="001750A7" w:rsidP="001750A7">
            <w:pPr>
              <w:pStyle w:val="ListParagraph"/>
              <w:numPr>
                <w:ilvl w:val="0"/>
                <w:numId w:val="5"/>
              </w:numPr>
              <w:rPr>
                <w:sz w:val="20"/>
                <w:szCs w:val="20"/>
              </w:rPr>
            </w:pPr>
            <w:r w:rsidRPr="00427769">
              <w:rPr>
                <w:sz w:val="20"/>
                <w:szCs w:val="20"/>
              </w:rPr>
              <w:t>Impact reporting is now a ‘must’ for all charities</w:t>
            </w:r>
          </w:p>
          <w:p w14:paraId="2F3C13CE" w14:textId="6AE64255" w:rsidR="001750A7" w:rsidRPr="00427769" w:rsidRDefault="001750A7" w:rsidP="001750A7">
            <w:pPr>
              <w:pStyle w:val="ListParagraph"/>
              <w:numPr>
                <w:ilvl w:val="0"/>
                <w:numId w:val="5"/>
              </w:numPr>
              <w:rPr>
                <w:sz w:val="20"/>
                <w:szCs w:val="20"/>
              </w:rPr>
            </w:pPr>
            <w:r w:rsidRPr="00427769">
              <w:rPr>
                <w:sz w:val="20"/>
                <w:szCs w:val="20"/>
              </w:rPr>
              <w:t>Tier 1</w:t>
            </w:r>
            <w:r w:rsidR="00655752" w:rsidRPr="00427769">
              <w:rPr>
                <w:sz w:val="20"/>
                <w:szCs w:val="20"/>
              </w:rPr>
              <w:t xml:space="preserve"> – </w:t>
            </w:r>
            <w:r w:rsidRPr="00427769">
              <w:rPr>
                <w:sz w:val="20"/>
                <w:szCs w:val="20"/>
              </w:rPr>
              <w:t>simplified disclosures</w:t>
            </w:r>
          </w:p>
          <w:p w14:paraId="691D55C4" w14:textId="12BD4960" w:rsidR="00547226" w:rsidRPr="00427769" w:rsidRDefault="001750A7" w:rsidP="001750A7">
            <w:pPr>
              <w:pStyle w:val="ListParagraph"/>
              <w:numPr>
                <w:ilvl w:val="0"/>
                <w:numId w:val="5"/>
              </w:numPr>
              <w:rPr>
                <w:sz w:val="20"/>
                <w:szCs w:val="20"/>
              </w:rPr>
            </w:pPr>
            <w:r w:rsidRPr="00427769">
              <w:rPr>
                <w:sz w:val="20"/>
                <w:szCs w:val="20"/>
              </w:rPr>
              <w:t>T</w:t>
            </w:r>
            <w:r w:rsidR="00547226" w:rsidRPr="00427769">
              <w:rPr>
                <w:sz w:val="20"/>
                <w:szCs w:val="20"/>
              </w:rPr>
              <w:t xml:space="preserve">ier 2 and </w:t>
            </w:r>
            <w:r w:rsidRPr="00427769">
              <w:rPr>
                <w:sz w:val="20"/>
                <w:szCs w:val="20"/>
              </w:rPr>
              <w:t>T</w:t>
            </w:r>
            <w:r w:rsidR="00547226" w:rsidRPr="00427769">
              <w:rPr>
                <w:sz w:val="20"/>
                <w:szCs w:val="20"/>
              </w:rPr>
              <w:t xml:space="preserve">ier 3 </w:t>
            </w:r>
            <w:r w:rsidR="00655752" w:rsidRPr="00427769">
              <w:rPr>
                <w:sz w:val="20"/>
                <w:szCs w:val="20"/>
              </w:rPr>
              <w:t xml:space="preserve">– </w:t>
            </w:r>
            <w:r w:rsidR="00547226" w:rsidRPr="00427769">
              <w:rPr>
                <w:sz w:val="20"/>
                <w:szCs w:val="20"/>
              </w:rPr>
              <w:t>more narrative on how legacies are recognised in the accounts</w:t>
            </w:r>
          </w:p>
          <w:p w14:paraId="4AC66583" w14:textId="4C401089" w:rsidR="00F17F31" w:rsidRPr="00427769" w:rsidRDefault="001750A7" w:rsidP="001750A7">
            <w:pPr>
              <w:pStyle w:val="ListParagraph"/>
              <w:numPr>
                <w:ilvl w:val="0"/>
                <w:numId w:val="5"/>
              </w:numPr>
              <w:rPr>
                <w:sz w:val="20"/>
                <w:szCs w:val="20"/>
              </w:rPr>
            </w:pPr>
            <w:r w:rsidRPr="00427769">
              <w:rPr>
                <w:sz w:val="20"/>
                <w:szCs w:val="20"/>
              </w:rPr>
              <w:t xml:space="preserve">Tier 3 cashflow statement and </w:t>
            </w:r>
            <w:r w:rsidR="00547226" w:rsidRPr="00427769">
              <w:rPr>
                <w:sz w:val="20"/>
                <w:szCs w:val="20"/>
              </w:rPr>
              <w:t>environmental, social</w:t>
            </w:r>
            <w:r w:rsidRPr="00427769">
              <w:rPr>
                <w:sz w:val="20"/>
                <w:szCs w:val="20"/>
              </w:rPr>
              <w:t xml:space="preserve"> and governance</w:t>
            </w:r>
            <w:r w:rsidR="00547226" w:rsidRPr="00427769">
              <w:rPr>
                <w:sz w:val="20"/>
                <w:szCs w:val="20"/>
              </w:rPr>
              <w:t xml:space="preserve"> </w:t>
            </w:r>
            <w:r w:rsidRPr="00427769">
              <w:rPr>
                <w:sz w:val="20"/>
                <w:szCs w:val="20"/>
              </w:rPr>
              <w:t xml:space="preserve">(ESG) </w:t>
            </w:r>
            <w:r w:rsidR="00655752" w:rsidRPr="00427769">
              <w:rPr>
                <w:sz w:val="20"/>
                <w:szCs w:val="20"/>
              </w:rPr>
              <w:t>reporting</w:t>
            </w:r>
            <w:r w:rsidRPr="00427769">
              <w:rPr>
                <w:sz w:val="20"/>
                <w:szCs w:val="20"/>
              </w:rPr>
              <w:t xml:space="preserve"> </w:t>
            </w:r>
          </w:p>
        </w:tc>
      </w:tr>
      <w:tr w:rsidR="00427769" w:rsidRPr="00126857" w14:paraId="098DC4A0" w14:textId="77777777" w:rsidTr="00A544C0">
        <w:trPr>
          <w:trHeight w:val="312"/>
        </w:trPr>
        <w:tc>
          <w:tcPr>
            <w:tcW w:w="15446" w:type="dxa"/>
            <w:gridSpan w:val="3"/>
            <w:shd w:val="clear" w:color="auto" w:fill="0070C0"/>
            <w:vAlign w:val="center"/>
          </w:tcPr>
          <w:p w14:paraId="680E5989" w14:textId="36462EA2" w:rsidR="00427769" w:rsidRPr="00427769" w:rsidRDefault="00427769" w:rsidP="00427769">
            <w:pPr>
              <w:rPr>
                <w:szCs w:val="22"/>
              </w:rPr>
            </w:pPr>
            <w:r w:rsidRPr="00427769">
              <w:rPr>
                <w:b/>
                <w:bCs/>
                <w:color w:val="FFFFFF" w:themeColor="background1"/>
                <w:szCs w:val="22"/>
              </w:rPr>
              <w:t>Other related changes</w:t>
            </w:r>
          </w:p>
        </w:tc>
      </w:tr>
      <w:tr w:rsidR="00427769" w:rsidRPr="00126857" w14:paraId="58EA709A" w14:textId="77777777" w:rsidTr="00E15158">
        <w:trPr>
          <w:trHeight w:val="1456"/>
        </w:trPr>
        <w:tc>
          <w:tcPr>
            <w:tcW w:w="2263" w:type="dxa"/>
            <w:shd w:val="clear" w:color="auto" w:fill="E2F0FD"/>
            <w:vAlign w:val="center"/>
          </w:tcPr>
          <w:p w14:paraId="0A7C7A10" w14:textId="332CA98D" w:rsidR="00427769" w:rsidRPr="00135062" w:rsidRDefault="00427769" w:rsidP="00427769">
            <w:pPr>
              <w:rPr>
                <w:sz w:val="20"/>
                <w:szCs w:val="20"/>
              </w:rPr>
            </w:pPr>
            <w:r w:rsidRPr="00135062">
              <w:rPr>
                <w:sz w:val="20"/>
                <w:szCs w:val="20"/>
              </w:rPr>
              <w:t>Independent Examination / Auditor thresholds</w:t>
            </w:r>
          </w:p>
        </w:tc>
        <w:tc>
          <w:tcPr>
            <w:tcW w:w="5103" w:type="dxa"/>
            <w:vAlign w:val="center"/>
          </w:tcPr>
          <w:p w14:paraId="64637314" w14:textId="50705CCF" w:rsidR="00427769" w:rsidRPr="001750A7" w:rsidRDefault="00427769" w:rsidP="00427769">
            <w:pPr>
              <w:rPr>
                <w:sz w:val="20"/>
                <w:szCs w:val="20"/>
              </w:rPr>
            </w:pPr>
            <w:r w:rsidRPr="001750A7">
              <w:rPr>
                <w:sz w:val="20"/>
                <w:szCs w:val="20"/>
              </w:rPr>
              <w:t>Independent Examiner (</w:t>
            </w:r>
            <w:r>
              <w:rPr>
                <w:sz w:val="20"/>
                <w:szCs w:val="20"/>
              </w:rPr>
              <w:t>3</w:t>
            </w:r>
            <w:r w:rsidRPr="001750A7">
              <w:rPr>
                <w:sz w:val="20"/>
                <w:szCs w:val="20"/>
              </w:rPr>
              <w:t>) up to £1m income or £3.26m assets; thereafter require Audited accounts</w:t>
            </w:r>
          </w:p>
        </w:tc>
        <w:tc>
          <w:tcPr>
            <w:tcW w:w="8080" w:type="dxa"/>
            <w:vAlign w:val="center"/>
          </w:tcPr>
          <w:p w14:paraId="3EDB3EDB" w14:textId="12B9FF89" w:rsidR="00427769" w:rsidRPr="00E15158" w:rsidRDefault="00427769" w:rsidP="00427769">
            <w:pPr>
              <w:rPr>
                <w:sz w:val="20"/>
                <w:szCs w:val="20"/>
              </w:rPr>
            </w:pPr>
            <w:r w:rsidRPr="00E15158">
              <w:rPr>
                <w:sz w:val="20"/>
                <w:szCs w:val="20"/>
              </w:rPr>
              <w:t>Effective for reporting periods ending after 30 Sep 2026</w:t>
            </w:r>
            <w:r w:rsidRPr="00E15158">
              <w:rPr>
                <w:sz w:val="20"/>
                <w:szCs w:val="20"/>
              </w:rPr>
              <w:t>:</w:t>
            </w:r>
          </w:p>
          <w:p w14:paraId="7C0735AA" w14:textId="3C08FE25" w:rsidR="00427769" w:rsidRDefault="00427769" w:rsidP="00427769">
            <w:pPr>
              <w:rPr>
                <w:sz w:val="20"/>
                <w:szCs w:val="20"/>
              </w:rPr>
            </w:pPr>
            <w:r w:rsidRPr="001750A7">
              <w:rPr>
                <w:sz w:val="20"/>
                <w:szCs w:val="20"/>
              </w:rPr>
              <w:t>Independent Examiner (</w:t>
            </w:r>
            <w:r>
              <w:rPr>
                <w:sz w:val="20"/>
                <w:szCs w:val="20"/>
              </w:rPr>
              <w:t>3</w:t>
            </w:r>
            <w:r w:rsidRPr="001750A7">
              <w:rPr>
                <w:sz w:val="20"/>
                <w:szCs w:val="20"/>
              </w:rPr>
              <w:t>) up to £1.5m income or £5m assets; thereafter require Audited accounts</w:t>
            </w:r>
            <w:r>
              <w:rPr>
                <w:sz w:val="20"/>
                <w:szCs w:val="20"/>
              </w:rPr>
              <w:t>.</w:t>
            </w:r>
          </w:p>
          <w:p w14:paraId="5642BA1B" w14:textId="3BA2C05B" w:rsidR="00427769" w:rsidRDefault="00427769" w:rsidP="00427769">
            <w:pPr>
              <w:rPr>
                <w:sz w:val="20"/>
                <w:szCs w:val="20"/>
              </w:rPr>
            </w:pPr>
            <w:r>
              <w:rPr>
                <w:sz w:val="20"/>
                <w:szCs w:val="20"/>
              </w:rPr>
              <w:t>T</w:t>
            </w:r>
            <w:r w:rsidRPr="00AC34C0">
              <w:rPr>
                <w:sz w:val="20"/>
                <w:szCs w:val="20"/>
              </w:rPr>
              <w:t>he requirement for a </w:t>
            </w:r>
            <w:r w:rsidRPr="00AC34C0">
              <w:rPr>
                <w:i/>
                <w:iCs/>
                <w:sz w:val="20"/>
                <w:szCs w:val="20"/>
              </w:rPr>
              <w:t>professionally qualified</w:t>
            </w:r>
            <w:r w:rsidRPr="00AC34C0">
              <w:rPr>
                <w:sz w:val="20"/>
                <w:szCs w:val="20"/>
              </w:rPr>
              <w:t xml:space="preserve"> examiner </w:t>
            </w:r>
            <w:r>
              <w:rPr>
                <w:sz w:val="20"/>
                <w:szCs w:val="20"/>
              </w:rPr>
              <w:t>applicable</w:t>
            </w:r>
            <w:r w:rsidRPr="00AC34C0">
              <w:rPr>
                <w:sz w:val="20"/>
                <w:szCs w:val="20"/>
              </w:rPr>
              <w:t xml:space="preserve"> at a higher </w:t>
            </w:r>
            <w:r>
              <w:rPr>
                <w:sz w:val="20"/>
                <w:szCs w:val="20"/>
              </w:rPr>
              <w:t xml:space="preserve">threshold of </w:t>
            </w:r>
            <w:r w:rsidRPr="00AC34C0">
              <w:rPr>
                <w:sz w:val="20"/>
                <w:szCs w:val="20"/>
              </w:rPr>
              <w:t>£500</w:t>
            </w:r>
            <w:r>
              <w:rPr>
                <w:sz w:val="20"/>
                <w:szCs w:val="20"/>
              </w:rPr>
              <w:t>k</w:t>
            </w:r>
            <w:r w:rsidRPr="00AC34C0">
              <w:rPr>
                <w:sz w:val="20"/>
                <w:szCs w:val="20"/>
              </w:rPr>
              <w:t xml:space="preserve"> income, up from £250</w:t>
            </w:r>
            <w:r>
              <w:rPr>
                <w:sz w:val="20"/>
                <w:szCs w:val="20"/>
              </w:rPr>
              <w:t>k</w:t>
            </w:r>
            <w:r w:rsidRPr="00AC34C0">
              <w:rPr>
                <w:sz w:val="20"/>
                <w:szCs w:val="20"/>
              </w:rPr>
              <w:t> </w:t>
            </w:r>
          </w:p>
        </w:tc>
      </w:tr>
      <w:tr w:rsidR="00427769" w:rsidRPr="00126857" w14:paraId="7BBA7EF0" w14:textId="77777777" w:rsidTr="00427769">
        <w:trPr>
          <w:trHeight w:val="567"/>
        </w:trPr>
        <w:tc>
          <w:tcPr>
            <w:tcW w:w="2263" w:type="dxa"/>
            <w:shd w:val="clear" w:color="auto" w:fill="E2F0FD"/>
            <w:vAlign w:val="center"/>
          </w:tcPr>
          <w:p w14:paraId="13B68E0C" w14:textId="41BDD2C0" w:rsidR="00427769" w:rsidRPr="00135062" w:rsidRDefault="00427769" w:rsidP="00427769">
            <w:pPr>
              <w:rPr>
                <w:sz w:val="20"/>
                <w:szCs w:val="20"/>
              </w:rPr>
            </w:pPr>
            <w:r w:rsidRPr="00135062">
              <w:rPr>
                <w:sz w:val="20"/>
                <w:szCs w:val="20"/>
              </w:rPr>
              <w:t>Registered with the Charity Commission</w:t>
            </w:r>
          </w:p>
        </w:tc>
        <w:tc>
          <w:tcPr>
            <w:tcW w:w="13183" w:type="dxa"/>
            <w:gridSpan w:val="2"/>
            <w:vAlign w:val="center"/>
          </w:tcPr>
          <w:p w14:paraId="4D4218B4" w14:textId="2A4AF3EE" w:rsidR="00427769" w:rsidRDefault="00427769" w:rsidP="00427769">
            <w:pPr>
              <w:rPr>
                <w:sz w:val="20"/>
                <w:szCs w:val="20"/>
              </w:rPr>
            </w:pPr>
            <w:r>
              <w:rPr>
                <w:sz w:val="20"/>
                <w:szCs w:val="20"/>
              </w:rPr>
              <w:t>All PCCs with g</w:t>
            </w:r>
            <w:r w:rsidRPr="001750A7">
              <w:rPr>
                <w:sz w:val="20"/>
                <w:szCs w:val="20"/>
              </w:rPr>
              <w:t>ross annual income over £100k</w:t>
            </w:r>
            <w:r>
              <w:rPr>
                <w:sz w:val="20"/>
                <w:szCs w:val="20"/>
              </w:rPr>
              <w:t xml:space="preserve">.  </w:t>
            </w:r>
            <w:r w:rsidRPr="001750A7">
              <w:rPr>
                <w:sz w:val="20"/>
                <w:szCs w:val="20"/>
              </w:rPr>
              <w:t>By March 2031, all PCCs with income of over £5k will need to be registered.</w:t>
            </w:r>
          </w:p>
        </w:tc>
      </w:tr>
    </w:tbl>
    <w:p w14:paraId="025638CB" w14:textId="77777777" w:rsidR="00135062" w:rsidRPr="00FC5C84" w:rsidRDefault="00135062" w:rsidP="00135062">
      <w:pPr>
        <w:spacing w:after="0"/>
        <w:rPr>
          <w:sz w:val="12"/>
          <w:szCs w:val="12"/>
        </w:rPr>
      </w:pPr>
    </w:p>
    <w:p w14:paraId="2DA8BC4A" w14:textId="77777777" w:rsidR="00427769" w:rsidRDefault="00547226" w:rsidP="00427769">
      <w:pPr>
        <w:pStyle w:val="ListParagraph"/>
        <w:numPr>
          <w:ilvl w:val="0"/>
          <w:numId w:val="4"/>
        </w:numPr>
        <w:rPr>
          <w:sz w:val="16"/>
          <w:szCs w:val="16"/>
        </w:rPr>
      </w:pPr>
      <w:r w:rsidRPr="00135062">
        <w:rPr>
          <w:sz w:val="16"/>
          <w:szCs w:val="16"/>
        </w:rPr>
        <w:t>Gross annual income definition:</w:t>
      </w:r>
      <w:r w:rsidR="00135062" w:rsidRPr="00135062">
        <w:rPr>
          <w:sz w:val="16"/>
          <w:szCs w:val="16"/>
        </w:rPr>
        <w:t xml:space="preserve">  R</w:t>
      </w:r>
      <w:r w:rsidRPr="00135062">
        <w:rPr>
          <w:sz w:val="16"/>
          <w:szCs w:val="16"/>
        </w:rPr>
        <w:t xml:space="preserve">eceipts and payments </w:t>
      </w:r>
      <w:r w:rsidR="00135062" w:rsidRPr="00135062">
        <w:rPr>
          <w:sz w:val="16"/>
          <w:szCs w:val="16"/>
        </w:rPr>
        <w:t xml:space="preserve">accounts – </w:t>
      </w:r>
      <w:r w:rsidRPr="00135062">
        <w:rPr>
          <w:sz w:val="16"/>
          <w:szCs w:val="16"/>
        </w:rPr>
        <w:t>gross annual income is the total receipts shown in the statement from all sources excluding the receipt of any endowment for the financial year.</w:t>
      </w:r>
      <w:r w:rsidR="00135062" w:rsidRPr="00135062">
        <w:rPr>
          <w:sz w:val="16"/>
          <w:szCs w:val="16"/>
        </w:rPr>
        <w:t xml:space="preserve"> </w:t>
      </w:r>
      <w:r w:rsidR="00135062">
        <w:rPr>
          <w:sz w:val="16"/>
          <w:szCs w:val="16"/>
        </w:rPr>
        <w:t>A</w:t>
      </w:r>
      <w:r w:rsidRPr="00135062">
        <w:rPr>
          <w:sz w:val="16"/>
          <w:szCs w:val="16"/>
        </w:rPr>
        <w:t xml:space="preserve">ccruals </w:t>
      </w:r>
      <w:r w:rsidR="00135062">
        <w:rPr>
          <w:sz w:val="16"/>
          <w:szCs w:val="16"/>
        </w:rPr>
        <w:t xml:space="preserve">accounts – </w:t>
      </w:r>
      <w:r w:rsidRPr="00135062">
        <w:rPr>
          <w:sz w:val="16"/>
          <w:szCs w:val="16"/>
        </w:rPr>
        <w:t>gross annual income is the total incoming resources shown on the Statement of Financial Activities, including any amount transferred to income funds from endowment funds to be available for spending, but excluding the receipt of any endowment.</w:t>
      </w:r>
    </w:p>
    <w:p w14:paraId="24EB097B" w14:textId="34F338BB" w:rsidR="00427769" w:rsidRPr="00427769" w:rsidRDefault="00427769" w:rsidP="00427769">
      <w:pPr>
        <w:pStyle w:val="ListParagraph"/>
        <w:numPr>
          <w:ilvl w:val="0"/>
          <w:numId w:val="4"/>
        </w:numPr>
        <w:rPr>
          <w:sz w:val="16"/>
          <w:szCs w:val="16"/>
        </w:rPr>
      </w:pPr>
      <w:r w:rsidRPr="00427769">
        <w:rPr>
          <w:sz w:val="16"/>
          <w:szCs w:val="16"/>
        </w:rPr>
        <w:t xml:space="preserve">If you are a non-company charity </w:t>
      </w:r>
      <w:r w:rsidRPr="00427769">
        <w:rPr>
          <w:sz w:val="16"/>
          <w:szCs w:val="16"/>
        </w:rPr>
        <w:t xml:space="preserve">(i.e. not limited by guarantee) </w:t>
      </w:r>
      <w:r w:rsidRPr="00427769">
        <w:rPr>
          <w:sz w:val="16"/>
          <w:szCs w:val="16"/>
        </w:rPr>
        <w:t>with income below £250k (£500k from 2026), you may use Receipts and Payments (R&amp;P) accounts. The Charity SORP does not apply to R&amp;P accounts.</w:t>
      </w:r>
      <w:r w:rsidRPr="00427769">
        <w:rPr>
          <w:sz w:val="16"/>
          <w:szCs w:val="16"/>
        </w:rPr>
        <w:t xml:space="preserve"> </w:t>
      </w:r>
      <w:r w:rsidRPr="00427769">
        <w:rPr>
          <w:sz w:val="16"/>
          <w:szCs w:val="16"/>
        </w:rPr>
        <w:t xml:space="preserve">If your income is </w:t>
      </w:r>
      <w:r w:rsidRPr="00427769">
        <w:rPr>
          <w:sz w:val="16"/>
          <w:szCs w:val="16"/>
        </w:rPr>
        <w:t>below £250k (</w:t>
      </w:r>
      <w:r w:rsidRPr="00427769">
        <w:rPr>
          <w:sz w:val="16"/>
          <w:szCs w:val="16"/>
        </w:rPr>
        <w:t>£500k</w:t>
      </w:r>
      <w:r w:rsidRPr="00427769">
        <w:rPr>
          <w:sz w:val="16"/>
          <w:szCs w:val="16"/>
        </w:rPr>
        <w:t xml:space="preserve"> from 2026)</w:t>
      </w:r>
      <w:r w:rsidRPr="00427769">
        <w:rPr>
          <w:sz w:val="16"/>
          <w:szCs w:val="16"/>
        </w:rPr>
        <w:t>, you can choose to prepare accruals accounts</w:t>
      </w:r>
      <w:r w:rsidRPr="00427769">
        <w:rPr>
          <w:sz w:val="16"/>
          <w:szCs w:val="16"/>
        </w:rPr>
        <w:t xml:space="preserve">, </w:t>
      </w:r>
      <w:r w:rsidRPr="00427769">
        <w:rPr>
          <w:sz w:val="16"/>
          <w:szCs w:val="16"/>
        </w:rPr>
        <w:t>but this means the SORP will apply.</w:t>
      </w:r>
      <w:r w:rsidRPr="00427769">
        <w:rPr>
          <w:sz w:val="16"/>
          <w:szCs w:val="16"/>
        </w:rPr>
        <w:t xml:space="preserve"> </w:t>
      </w:r>
      <w:r w:rsidRPr="00427769">
        <w:rPr>
          <w:sz w:val="16"/>
          <w:szCs w:val="16"/>
        </w:rPr>
        <w:t>Charitable companies must always prepare accruals accounts and comply with the SORP, whatever their income.</w:t>
      </w:r>
    </w:p>
    <w:p w14:paraId="6ABA6A55" w14:textId="52CDCC3C" w:rsidR="00547226" w:rsidRPr="00135062" w:rsidRDefault="00547226" w:rsidP="00547226">
      <w:pPr>
        <w:pStyle w:val="ListParagraph"/>
        <w:numPr>
          <w:ilvl w:val="0"/>
          <w:numId w:val="4"/>
        </w:numPr>
        <w:rPr>
          <w:sz w:val="16"/>
          <w:szCs w:val="16"/>
        </w:rPr>
      </w:pPr>
      <w:r w:rsidRPr="00135062">
        <w:rPr>
          <w:sz w:val="16"/>
          <w:szCs w:val="16"/>
        </w:rPr>
        <w:t xml:space="preserve">All PCCs must have their accounts either independently examined or audited (as per charity law) regardless of income. The Church Accounting Regulations 2006, means the </w:t>
      </w:r>
      <w:hyperlink r:id="rId8" w:anchor="how-to-check-whether-your-charity-can-choose-to-have-its-accounts-independently-examined-instead-of-audited" w:history="1">
        <w:r w:rsidRPr="00135062">
          <w:rPr>
            <w:rStyle w:val="Hyperlink"/>
            <w:sz w:val="16"/>
            <w:szCs w:val="16"/>
          </w:rPr>
          <w:t>£25</w:t>
        </w:r>
        <w:r w:rsidR="00E238AE">
          <w:rPr>
            <w:rStyle w:val="Hyperlink"/>
            <w:sz w:val="16"/>
            <w:szCs w:val="16"/>
          </w:rPr>
          <w:t>k (£40k from 2026)</w:t>
        </w:r>
        <w:r w:rsidRPr="00135062">
          <w:rPr>
            <w:rStyle w:val="Hyperlink"/>
            <w:sz w:val="16"/>
            <w:szCs w:val="16"/>
          </w:rPr>
          <w:t xml:space="preserve"> per year threshold</w:t>
        </w:r>
      </w:hyperlink>
      <w:r w:rsidRPr="00135062">
        <w:rPr>
          <w:sz w:val="16"/>
          <w:szCs w:val="16"/>
        </w:rPr>
        <w:t xml:space="preserve"> does not apply to PCCs. If your Gross Income exceeds £250k</w:t>
      </w:r>
      <w:r w:rsidR="00560EBF">
        <w:rPr>
          <w:sz w:val="16"/>
          <w:szCs w:val="16"/>
        </w:rPr>
        <w:t xml:space="preserve"> or £500k from 2026</w:t>
      </w:r>
      <w:r w:rsidRPr="00135062">
        <w:rPr>
          <w:sz w:val="16"/>
          <w:szCs w:val="16"/>
        </w:rPr>
        <w:t xml:space="preserve"> (but you are under the audit threshold), your examiner will need to be appropriately qualified</w:t>
      </w:r>
      <w:r w:rsidR="00D27901">
        <w:rPr>
          <w:sz w:val="16"/>
          <w:szCs w:val="16"/>
        </w:rPr>
        <w:t xml:space="preserve"> </w:t>
      </w:r>
      <w:hyperlink r:id="rId9" w:history="1">
        <w:r w:rsidR="00D27901" w:rsidRPr="00135062">
          <w:rPr>
            <w:rStyle w:val="Hyperlink"/>
            <w:sz w:val="16"/>
            <w:szCs w:val="16"/>
          </w:rPr>
          <w:t>CC31 is a Trustees’ Guide to Independent Examination</w:t>
        </w:r>
      </w:hyperlink>
      <w:r w:rsidR="00FC5C84">
        <w:rPr>
          <w:sz w:val="16"/>
          <w:szCs w:val="16"/>
        </w:rPr>
        <w:t xml:space="preserve"> </w:t>
      </w:r>
      <w:r w:rsidRPr="00135062">
        <w:rPr>
          <w:sz w:val="16"/>
          <w:szCs w:val="16"/>
        </w:rPr>
        <w:t>as shown by membership of one of the bodies listed in </w:t>
      </w:r>
      <w:hyperlink r:id="rId10" w:tgtFrame="_blank" w:history="1">
        <w:r w:rsidRPr="00135062">
          <w:rPr>
            <w:rStyle w:val="Hyperlink"/>
            <w:sz w:val="16"/>
            <w:szCs w:val="16"/>
          </w:rPr>
          <w:t>Appendix 5 (page 70) of the CC32 Guidance document</w:t>
        </w:r>
      </w:hyperlink>
      <w:r w:rsidRPr="00135062">
        <w:rPr>
          <w:sz w:val="16"/>
          <w:szCs w:val="16"/>
        </w:rPr>
        <w:t>.</w:t>
      </w:r>
    </w:p>
    <w:sectPr w:rsidR="00547226" w:rsidRPr="00135062" w:rsidSect="00427769">
      <w:pgSz w:w="16838" w:h="11906" w:orient="landscape"/>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74A6"/>
    <w:multiLevelType w:val="hybridMultilevel"/>
    <w:tmpl w:val="A3300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8C5283"/>
    <w:multiLevelType w:val="hybridMultilevel"/>
    <w:tmpl w:val="5F1ADB46"/>
    <w:lvl w:ilvl="0" w:tplc="E8C21DF8">
      <w:start w:val="1"/>
      <w:numFmt w:val="decimal"/>
      <w:lvlText w:val="(%1)"/>
      <w:lvlJc w:val="left"/>
      <w:pPr>
        <w:ind w:left="360" w:hanging="360"/>
      </w:pPr>
      <w:rPr>
        <w:rFonts w:hint="default"/>
      </w:rPr>
    </w:lvl>
    <w:lvl w:ilvl="1" w:tplc="AFF00C3E">
      <w:start w:val="1"/>
      <w:numFmt w:val="decimal"/>
      <w:lvlText w:val="(%2)"/>
      <w:lvlJc w:val="left"/>
      <w:pPr>
        <w:ind w:left="1080" w:hanging="360"/>
      </w:pPr>
      <w:rPr>
        <w:rFonts w:ascii="DM Sans" w:eastAsiaTheme="minorHAnsi" w:hAnsi="DM Sans" w:cstheme="minorBidi"/>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1B18C0"/>
    <w:multiLevelType w:val="hybridMultilevel"/>
    <w:tmpl w:val="6F881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E46B05"/>
    <w:multiLevelType w:val="hybridMultilevel"/>
    <w:tmpl w:val="B6C08E24"/>
    <w:lvl w:ilvl="0" w:tplc="29A400F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6C3FCD"/>
    <w:multiLevelType w:val="hybridMultilevel"/>
    <w:tmpl w:val="9BB4D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C05CCD"/>
    <w:multiLevelType w:val="hybridMultilevel"/>
    <w:tmpl w:val="FB861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2352030">
    <w:abstractNumId w:val="0"/>
  </w:num>
  <w:num w:numId="2" w16cid:durableId="2059619542">
    <w:abstractNumId w:val="5"/>
  </w:num>
  <w:num w:numId="3" w16cid:durableId="421922102">
    <w:abstractNumId w:val="3"/>
  </w:num>
  <w:num w:numId="4" w16cid:durableId="1013145525">
    <w:abstractNumId w:val="1"/>
  </w:num>
  <w:num w:numId="5" w16cid:durableId="573315192">
    <w:abstractNumId w:val="4"/>
  </w:num>
  <w:num w:numId="6" w16cid:durableId="36466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31"/>
    <w:rsid w:val="00011139"/>
    <w:rsid w:val="00126857"/>
    <w:rsid w:val="00135062"/>
    <w:rsid w:val="001750A7"/>
    <w:rsid w:val="001E0C12"/>
    <w:rsid w:val="003C7A73"/>
    <w:rsid w:val="00427769"/>
    <w:rsid w:val="004B6460"/>
    <w:rsid w:val="004E0DEE"/>
    <w:rsid w:val="00547226"/>
    <w:rsid w:val="00560EBF"/>
    <w:rsid w:val="00655752"/>
    <w:rsid w:val="00675BC0"/>
    <w:rsid w:val="00676B1C"/>
    <w:rsid w:val="00720090"/>
    <w:rsid w:val="00832C03"/>
    <w:rsid w:val="008D3935"/>
    <w:rsid w:val="009F756C"/>
    <w:rsid w:val="00A06765"/>
    <w:rsid w:val="00A82D6A"/>
    <w:rsid w:val="00AC34C0"/>
    <w:rsid w:val="00AE4877"/>
    <w:rsid w:val="00BF078F"/>
    <w:rsid w:val="00C2412C"/>
    <w:rsid w:val="00D27901"/>
    <w:rsid w:val="00DA21B8"/>
    <w:rsid w:val="00E15158"/>
    <w:rsid w:val="00E238AE"/>
    <w:rsid w:val="00F17F31"/>
    <w:rsid w:val="00F81908"/>
    <w:rsid w:val="00FA6C9B"/>
    <w:rsid w:val="00FC5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E6D9"/>
  <w15:chartTrackingRefBased/>
  <w15:docId w15:val="{9ECCFCF0-C3CD-46B0-818A-43DEB5D8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26"/>
    <w:rPr>
      <w:rFonts w:ascii="DM Sans" w:hAnsi="DM Sans"/>
      <w:sz w:val="22"/>
    </w:rPr>
  </w:style>
  <w:style w:type="paragraph" w:styleId="Heading1">
    <w:name w:val="heading 1"/>
    <w:basedOn w:val="Normal"/>
    <w:next w:val="Normal"/>
    <w:link w:val="Heading1Char"/>
    <w:uiPriority w:val="9"/>
    <w:qFormat/>
    <w:rsid w:val="00F17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F31"/>
    <w:rPr>
      <w:rFonts w:eastAsiaTheme="majorEastAsia" w:cstheme="majorBidi"/>
      <w:color w:val="272727" w:themeColor="text1" w:themeTint="D8"/>
    </w:rPr>
  </w:style>
  <w:style w:type="paragraph" w:styleId="Title">
    <w:name w:val="Title"/>
    <w:basedOn w:val="Normal"/>
    <w:next w:val="Normal"/>
    <w:link w:val="TitleChar"/>
    <w:uiPriority w:val="10"/>
    <w:qFormat/>
    <w:rsid w:val="00F17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F31"/>
    <w:pPr>
      <w:spacing w:before="160"/>
      <w:jc w:val="center"/>
    </w:pPr>
    <w:rPr>
      <w:i/>
      <w:iCs/>
      <w:color w:val="404040" w:themeColor="text1" w:themeTint="BF"/>
    </w:rPr>
  </w:style>
  <w:style w:type="character" w:customStyle="1" w:styleId="QuoteChar">
    <w:name w:val="Quote Char"/>
    <w:basedOn w:val="DefaultParagraphFont"/>
    <w:link w:val="Quote"/>
    <w:uiPriority w:val="29"/>
    <w:rsid w:val="00F17F31"/>
    <w:rPr>
      <w:i/>
      <w:iCs/>
      <w:color w:val="404040" w:themeColor="text1" w:themeTint="BF"/>
    </w:rPr>
  </w:style>
  <w:style w:type="paragraph" w:styleId="ListParagraph">
    <w:name w:val="List Paragraph"/>
    <w:basedOn w:val="Normal"/>
    <w:uiPriority w:val="34"/>
    <w:qFormat/>
    <w:rsid w:val="00F17F31"/>
    <w:pPr>
      <w:ind w:left="720"/>
      <w:contextualSpacing/>
    </w:pPr>
  </w:style>
  <w:style w:type="character" w:styleId="IntenseEmphasis">
    <w:name w:val="Intense Emphasis"/>
    <w:basedOn w:val="DefaultParagraphFont"/>
    <w:uiPriority w:val="21"/>
    <w:qFormat/>
    <w:rsid w:val="00F17F31"/>
    <w:rPr>
      <w:i/>
      <w:iCs/>
      <w:color w:val="0F4761" w:themeColor="accent1" w:themeShade="BF"/>
    </w:rPr>
  </w:style>
  <w:style w:type="paragraph" w:styleId="IntenseQuote">
    <w:name w:val="Intense Quote"/>
    <w:basedOn w:val="Normal"/>
    <w:next w:val="Normal"/>
    <w:link w:val="IntenseQuoteChar"/>
    <w:uiPriority w:val="30"/>
    <w:qFormat/>
    <w:rsid w:val="00F17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F31"/>
    <w:rPr>
      <w:i/>
      <w:iCs/>
      <w:color w:val="0F4761" w:themeColor="accent1" w:themeShade="BF"/>
    </w:rPr>
  </w:style>
  <w:style w:type="character" w:styleId="IntenseReference">
    <w:name w:val="Intense Reference"/>
    <w:basedOn w:val="DefaultParagraphFont"/>
    <w:uiPriority w:val="32"/>
    <w:qFormat/>
    <w:rsid w:val="00F17F31"/>
    <w:rPr>
      <w:b/>
      <w:bCs/>
      <w:smallCaps/>
      <w:color w:val="0F4761" w:themeColor="accent1" w:themeShade="BF"/>
      <w:spacing w:val="5"/>
    </w:rPr>
  </w:style>
  <w:style w:type="table" w:styleId="TableGrid">
    <w:name w:val="Table Grid"/>
    <w:basedOn w:val="TableNormal"/>
    <w:uiPriority w:val="39"/>
    <w:rsid w:val="00F1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226"/>
    <w:rPr>
      <w:color w:val="467886" w:themeColor="hyperlink"/>
      <w:u w:val="single"/>
    </w:rPr>
  </w:style>
  <w:style w:type="character" w:styleId="UnresolvedMention">
    <w:name w:val="Unresolved Mention"/>
    <w:basedOn w:val="DefaultParagraphFont"/>
    <w:uiPriority w:val="99"/>
    <w:semiHidden/>
    <w:unhideWhenUsed/>
    <w:rsid w:val="00547226"/>
    <w:rPr>
      <w:color w:val="605E5C"/>
      <w:shd w:val="clear" w:color="auto" w:fill="E1DFDD"/>
    </w:rPr>
  </w:style>
  <w:style w:type="character" w:styleId="CommentReference">
    <w:name w:val="annotation reference"/>
    <w:basedOn w:val="DefaultParagraphFont"/>
    <w:uiPriority w:val="99"/>
    <w:semiHidden/>
    <w:unhideWhenUsed/>
    <w:rsid w:val="001E0C12"/>
    <w:rPr>
      <w:sz w:val="16"/>
      <w:szCs w:val="16"/>
    </w:rPr>
  </w:style>
  <w:style w:type="paragraph" w:styleId="CommentText">
    <w:name w:val="annotation text"/>
    <w:basedOn w:val="Normal"/>
    <w:link w:val="CommentTextChar"/>
    <w:uiPriority w:val="99"/>
    <w:unhideWhenUsed/>
    <w:rsid w:val="001E0C12"/>
    <w:pPr>
      <w:spacing w:line="240" w:lineRule="auto"/>
    </w:pPr>
    <w:rPr>
      <w:sz w:val="20"/>
      <w:szCs w:val="20"/>
    </w:rPr>
  </w:style>
  <w:style w:type="character" w:customStyle="1" w:styleId="CommentTextChar">
    <w:name w:val="Comment Text Char"/>
    <w:basedOn w:val="DefaultParagraphFont"/>
    <w:link w:val="CommentText"/>
    <w:uiPriority w:val="99"/>
    <w:rsid w:val="001E0C12"/>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1E0C12"/>
    <w:rPr>
      <w:b/>
      <w:bCs/>
    </w:rPr>
  </w:style>
  <w:style w:type="character" w:customStyle="1" w:styleId="CommentSubjectChar">
    <w:name w:val="Comment Subject Char"/>
    <w:basedOn w:val="CommentTextChar"/>
    <w:link w:val="CommentSubject"/>
    <w:uiPriority w:val="99"/>
    <w:semiHidden/>
    <w:rsid w:val="001E0C12"/>
    <w:rPr>
      <w:rFonts w:ascii="DM Sans" w:hAnsi="DM Sans"/>
      <w:b/>
      <w:bCs/>
      <w:sz w:val="20"/>
      <w:szCs w:val="20"/>
    </w:rPr>
  </w:style>
  <w:style w:type="character" w:styleId="FollowedHyperlink">
    <w:name w:val="FollowedHyperlink"/>
    <w:basedOn w:val="DefaultParagraphFont"/>
    <w:uiPriority w:val="99"/>
    <w:semiHidden/>
    <w:unhideWhenUsed/>
    <w:rsid w:val="004277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ependent-examination-of-charity-accounts-trustees-cc31/independent-examination-of-charity-accounts-trustees" TargetMode="External"/><Relationship Id="rId3" Type="http://schemas.openxmlformats.org/officeDocument/2006/relationships/settings" Target="settings.xml"/><Relationship Id="rId7" Type="http://schemas.openxmlformats.org/officeDocument/2006/relationships/hyperlink" Target="https://www.charitysorp.org/download-a-full-sor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ritysorp.org/documents/d/guest/summary-of-changes-sorp-2026-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ssets.publishing.service.gov.uk/media/60d9dc0a8fa8f50abecebb89/CC32_independent_examination_of_charity_accounts_Version_June_2021.pdf" TargetMode="External"/><Relationship Id="rId4" Type="http://schemas.openxmlformats.org/officeDocument/2006/relationships/webSettings" Target="webSettings.xml"/><Relationship Id="rId9" Type="http://schemas.openxmlformats.org/officeDocument/2006/relationships/hyperlink" Target="https://www.gov.uk/government/publications/independent-examination-of-charity-accounts-trustees-cc31/independent-examination-of-charity-accounts-trus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3639</Characters>
  <Application>Microsoft Office Word</Application>
  <DocSecurity>0</DocSecurity>
  <Lines>134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Harvey</dc:creator>
  <cp:keywords/>
  <dc:description/>
  <cp:lastModifiedBy>Elizabeth Harvey</cp:lastModifiedBy>
  <cp:revision>2</cp:revision>
  <dcterms:created xsi:type="dcterms:W3CDTF">2026-01-21T21:23:00Z</dcterms:created>
  <dcterms:modified xsi:type="dcterms:W3CDTF">2026-01-21T21:23:00Z</dcterms:modified>
</cp:coreProperties>
</file>